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6B5C" w14:textId="77777777" w:rsidR="002E21CF" w:rsidRPr="00B15F05" w:rsidRDefault="002E21CF" w:rsidP="007A5CEC">
      <w:pPr>
        <w:pBdr>
          <w:bottom w:val="single" w:sz="4" w:space="1" w:color="1F497D" w:themeColor="text2"/>
        </w:pBdr>
        <w:spacing w:before="240"/>
        <w:rPr>
          <w:smallCaps/>
          <w:color w:val="1F497D" w:themeColor="text2"/>
          <w:sz w:val="28"/>
        </w:rPr>
      </w:pPr>
      <w:r w:rsidRPr="00B15F05">
        <w:rPr>
          <w:smallCaps/>
          <w:color w:val="1F497D" w:themeColor="text2"/>
          <w:sz w:val="28"/>
        </w:rPr>
        <w:t>Business Tra</w:t>
      </w:r>
      <w:r w:rsidR="00E812C0" w:rsidRPr="00B15F05">
        <w:rPr>
          <w:smallCaps/>
          <w:color w:val="1F497D" w:themeColor="text2"/>
          <w:sz w:val="28"/>
        </w:rPr>
        <w:t>nsportation Expense</w:t>
      </w:r>
      <w:r w:rsidRPr="00B15F05">
        <w:rPr>
          <w:smallCaps/>
          <w:color w:val="1F497D" w:themeColor="text2"/>
          <w:sz w:val="28"/>
        </w:rPr>
        <w:t xml:space="preserve"> Policy</w:t>
      </w:r>
      <w:r w:rsidR="00B15F05" w:rsidRPr="00B15F05">
        <w:rPr>
          <w:smallCaps/>
          <w:color w:val="1F497D" w:themeColor="text2"/>
          <w:sz w:val="28"/>
        </w:rPr>
        <w:t xml:space="preserve"> for </w:t>
      </w:r>
      <w:r w:rsidR="00B15F05" w:rsidRPr="0052255F">
        <w:rPr>
          <w:b/>
          <w:smallCaps/>
          <w:color w:val="1F497D" w:themeColor="text2"/>
          <w:sz w:val="28"/>
        </w:rPr>
        <w:t>Non-Employees</w:t>
      </w:r>
      <w:r w:rsidR="001F3293" w:rsidRPr="00B15F05">
        <w:rPr>
          <w:smallCaps/>
          <w:color w:val="1F497D" w:themeColor="text2"/>
          <w:sz w:val="28"/>
        </w:rPr>
        <w:t xml:space="preserve"> – Same Day Travel</w:t>
      </w:r>
    </w:p>
    <w:p w14:paraId="1822AEC5" w14:textId="77777777" w:rsidR="00502495" w:rsidRPr="00502495" w:rsidRDefault="00E812C0" w:rsidP="005340FE">
      <w:r>
        <w:t xml:space="preserve">The Research Foundation for SUNY </w:t>
      </w:r>
      <w:r w:rsidR="006F2168">
        <w:t>on behalf of</w:t>
      </w:r>
      <w:r>
        <w:t xml:space="preserve"> SUNY New Paltz reimburse</w:t>
      </w:r>
      <w:r w:rsidR="00C57ED7">
        <w:t>s</w:t>
      </w:r>
      <w:r>
        <w:t xml:space="preserve"> </w:t>
      </w:r>
      <w:r w:rsidR="0052255F">
        <w:t xml:space="preserve">non-employee travelers </w:t>
      </w:r>
      <w:r>
        <w:t>for eligible</w:t>
      </w:r>
      <w:r w:rsidR="004620E7">
        <w:t>,</w:t>
      </w:r>
      <w:r>
        <w:t xml:space="preserve"> </w:t>
      </w:r>
      <w:r w:rsidR="004620E7" w:rsidRPr="00BB5D97">
        <w:rPr>
          <w:b/>
          <w:i/>
        </w:rPr>
        <w:t>same day</w:t>
      </w:r>
      <w:r w:rsidR="004620E7">
        <w:t xml:space="preserve">, </w:t>
      </w:r>
      <w:r>
        <w:t>business-related tra</w:t>
      </w:r>
      <w:r w:rsidR="009356C4">
        <w:t>nsportation</w:t>
      </w:r>
      <w:r>
        <w:t xml:space="preserve"> expenses.</w:t>
      </w:r>
      <w:r w:rsidR="00BB5D97">
        <w:t xml:space="preserve"> </w:t>
      </w:r>
      <w:r>
        <w:t xml:space="preserve"> </w:t>
      </w:r>
      <w:r w:rsidR="00502495" w:rsidRPr="00502495">
        <w:t>For transportation expenses to be eligible for reimbursement they must meet the following criteria:</w:t>
      </w:r>
    </w:p>
    <w:p w14:paraId="05978945" w14:textId="77777777" w:rsidR="00E46A9E" w:rsidRDefault="00502495" w:rsidP="005340FE">
      <w:pPr>
        <w:pStyle w:val="ListParagraph"/>
        <w:numPr>
          <w:ilvl w:val="0"/>
          <w:numId w:val="1"/>
        </w:numPr>
      </w:pPr>
      <w:r w:rsidRPr="00502495">
        <w:t>Ex</w:t>
      </w:r>
      <w:r>
        <w:t xml:space="preserve">penses </w:t>
      </w:r>
      <w:r w:rsidR="00E46A9E">
        <w:t>are</w:t>
      </w:r>
      <w:r>
        <w:t xml:space="preserve"> business-related;</w:t>
      </w:r>
    </w:p>
    <w:p w14:paraId="2179DD68" w14:textId="77777777" w:rsidR="00182533" w:rsidRDefault="00182533" w:rsidP="005340FE">
      <w:pPr>
        <w:pStyle w:val="ListParagraph"/>
        <w:numPr>
          <w:ilvl w:val="0"/>
          <w:numId w:val="1"/>
        </w:numPr>
      </w:pPr>
      <w:r>
        <w:t>Expenses are reasonable and prudent;</w:t>
      </w:r>
    </w:p>
    <w:p w14:paraId="5B2FA13E" w14:textId="77777777" w:rsidR="00FC0E0D" w:rsidRDefault="00502495" w:rsidP="005340FE">
      <w:pPr>
        <w:pStyle w:val="ListParagraph"/>
        <w:numPr>
          <w:ilvl w:val="0"/>
          <w:numId w:val="1"/>
        </w:numPr>
      </w:pPr>
      <w:r>
        <w:t xml:space="preserve">Reimbursement requests </w:t>
      </w:r>
      <w:r w:rsidR="00FC0E0D">
        <w:t>include:</w:t>
      </w:r>
    </w:p>
    <w:p w14:paraId="4D49A5C8" w14:textId="77777777" w:rsidR="00FC0E0D" w:rsidRDefault="00695968" w:rsidP="005340FE">
      <w:pPr>
        <w:pStyle w:val="ListParagraph"/>
        <w:numPr>
          <w:ilvl w:val="1"/>
          <w:numId w:val="1"/>
        </w:numPr>
      </w:pPr>
      <w:r>
        <w:t>evidence of the business connection</w:t>
      </w:r>
      <w:r w:rsidR="00FC0E0D">
        <w:t>,</w:t>
      </w:r>
    </w:p>
    <w:p w14:paraId="1D69D6D4" w14:textId="77777777" w:rsidR="00FC0E0D" w:rsidRDefault="001F3293" w:rsidP="005340FE">
      <w:pPr>
        <w:pStyle w:val="ListParagraph"/>
        <w:numPr>
          <w:ilvl w:val="1"/>
          <w:numId w:val="1"/>
        </w:numPr>
      </w:pPr>
      <w:r>
        <w:t>receipts</w:t>
      </w:r>
      <w:r w:rsidR="00FC0E0D">
        <w:t>,</w:t>
      </w:r>
    </w:p>
    <w:p w14:paraId="00634F72" w14:textId="4ABF0FF0" w:rsidR="00695968" w:rsidRDefault="001E7702" w:rsidP="005340FE">
      <w:pPr>
        <w:pStyle w:val="ListParagraph"/>
        <w:numPr>
          <w:ilvl w:val="1"/>
          <w:numId w:val="1"/>
        </w:numPr>
      </w:pPr>
      <w:r>
        <w:t>f</w:t>
      </w:r>
      <w:r w:rsidR="00653AC5">
        <w:t xml:space="preserve">or mileage reimbursements, </w:t>
      </w:r>
      <w:r w:rsidR="00FC0E0D">
        <w:t xml:space="preserve">the request should include a detailed </w:t>
      </w:r>
      <w:r w:rsidR="00DE2EE6">
        <w:t>log for</w:t>
      </w:r>
      <w:r w:rsidR="00FC0E0D">
        <w:t xml:space="preserve"> each leg of the trip</w:t>
      </w:r>
      <w:r w:rsidR="00653AC5">
        <w:t>, includ</w:t>
      </w:r>
      <w:r w:rsidR="00FC0E0D">
        <w:t>ing</w:t>
      </w:r>
      <w:r w:rsidR="00653AC5">
        <w:t xml:space="preserve"> date</w:t>
      </w:r>
      <w:r w:rsidR="00FC0E0D">
        <w:t>s, times (if warranted)</w:t>
      </w:r>
      <w:r w:rsidR="00502495">
        <w:t xml:space="preserve">, </w:t>
      </w:r>
      <w:r w:rsidR="00653AC5">
        <w:t>locations</w:t>
      </w:r>
      <w:r w:rsidR="00502495">
        <w:t xml:space="preserve">, </w:t>
      </w:r>
      <w:r w:rsidR="00653AC5">
        <w:t xml:space="preserve">mileage between each leg, </w:t>
      </w:r>
      <w:r w:rsidR="00FC0E0D">
        <w:t xml:space="preserve">current reimbursement rates, </w:t>
      </w:r>
      <w:r w:rsidR="00653AC5">
        <w:t>and cost</w:t>
      </w:r>
      <w:r w:rsidR="00FC0E0D">
        <w:t>s</w:t>
      </w:r>
      <w:r w:rsidR="00653AC5">
        <w:t>;</w:t>
      </w:r>
    </w:p>
    <w:p w14:paraId="7CEB8660" w14:textId="77777777" w:rsidR="00FC0E0D" w:rsidRDefault="00653AC5" w:rsidP="005340FE">
      <w:pPr>
        <w:pStyle w:val="ListParagraph"/>
        <w:numPr>
          <w:ilvl w:val="0"/>
          <w:numId w:val="1"/>
        </w:numPr>
      </w:pPr>
      <w:r>
        <w:t xml:space="preserve">All reimbursement requests </w:t>
      </w:r>
      <w:r w:rsidR="00E46A9E">
        <w:t>are</w:t>
      </w:r>
      <w:r>
        <w:t xml:space="preserve"> reviewed and </w:t>
      </w:r>
      <w:r w:rsidR="0088208E">
        <w:t>certified as accurate</w:t>
      </w:r>
      <w:r>
        <w:t xml:space="preserve"> by the </w:t>
      </w:r>
      <w:r w:rsidR="0052255F">
        <w:t>Principal Investigator/Project Director of the award to be charged</w:t>
      </w:r>
      <w:r>
        <w:t xml:space="preserve"> and submitted to OSP for processing within </w:t>
      </w:r>
      <w:r w:rsidR="008F512E">
        <w:rPr>
          <w:b/>
        </w:rPr>
        <w:t>30</w:t>
      </w:r>
      <w:r w:rsidRPr="00FC0E0D">
        <w:rPr>
          <w:b/>
        </w:rPr>
        <w:t xml:space="preserve"> days</w:t>
      </w:r>
      <w:r>
        <w:t xml:space="preserve"> of occurrence. </w:t>
      </w:r>
      <w:r w:rsidR="00CE26BD">
        <w:t xml:space="preserve"> Note that specific programs and/or Sponsors may have more restrictive deadlines that must be followed.</w:t>
      </w:r>
    </w:p>
    <w:p w14:paraId="728F1965" w14:textId="77777777" w:rsidR="00653AC5" w:rsidRDefault="00FC0E0D" w:rsidP="005340FE">
      <w:r w:rsidRPr="00FC0E0D">
        <w:rPr>
          <w:b/>
        </w:rPr>
        <w:t>Important:</w:t>
      </w:r>
      <w:r>
        <w:t xml:space="preserve"> </w:t>
      </w:r>
      <w:r w:rsidR="003A088D">
        <w:t>w</w:t>
      </w:r>
      <w:r w:rsidR="00653AC5">
        <w:t>ith justification</w:t>
      </w:r>
      <w:r w:rsidR="00452775">
        <w:t xml:space="preserve"> for the delay</w:t>
      </w:r>
      <w:r w:rsidR="00653AC5">
        <w:t>, reimbursement requests will be accepted u</w:t>
      </w:r>
      <w:r w:rsidR="00CE26BD">
        <w:t xml:space="preserve">p to </w:t>
      </w:r>
      <w:r w:rsidR="008F512E">
        <w:t>45</w:t>
      </w:r>
      <w:r w:rsidR="00CE26BD">
        <w:t xml:space="preserve"> days after occurrence.  </w:t>
      </w:r>
      <w:r w:rsidR="00653AC5">
        <w:t>Unless extraordinary</w:t>
      </w:r>
      <w:r w:rsidR="00452775">
        <w:t>, catastrophic</w:t>
      </w:r>
      <w:r w:rsidR="00653AC5">
        <w:t xml:space="preserve"> circumstances can be proved</w:t>
      </w:r>
      <w:r w:rsidR="00452775">
        <w:t xml:space="preserve"> that prevented the submission of the request</w:t>
      </w:r>
      <w:r w:rsidR="00653AC5">
        <w:t>, no</w:t>
      </w:r>
      <w:r w:rsidR="00452775">
        <w:t xml:space="preserve"> request</w:t>
      </w:r>
      <w:r w:rsidR="00653AC5">
        <w:t xml:space="preserve"> will be accepted or processed </w:t>
      </w:r>
      <w:r w:rsidR="00E46A9E">
        <w:t xml:space="preserve">by OSP </w:t>
      </w:r>
      <w:r w:rsidR="00653AC5">
        <w:t xml:space="preserve">after </w:t>
      </w:r>
      <w:r w:rsidR="008F512E">
        <w:rPr>
          <w:b/>
        </w:rPr>
        <w:t xml:space="preserve">45 </w:t>
      </w:r>
      <w:r w:rsidR="00653AC5">
        <w:t>days</w:t>
      </w:r>
      <w:r w:rsidR="00594AAB">
        <w:rPr>
          <w:rStyle w:val="FootnoteReference"/>
        </w:rPr>
        <w:footnoteReference w:id="1"/>
      </w:r>
      <w:r w:rsidR="00653AC5">
        <w:t xml:space="preserve"> from the date the expense was incurred.</w:t>
      </w:r>
      <w:r w:rsidR="00DA47A1">
        <w:t xml:space="preserve">  </w:t>
      </w:r>
    </w:p>
    <w:p w14:paraId="76CE1DF7" w14:textId="77777777" w:rsidR="00695968" w:rsidRDefault="00695968" w:rsidP="005340FE">
      <w:r w:rsidRPr="008F327F">
        <w:rPr>
          <w:smallCaps/>
        </w:rPr>
        <w:t>Advances</w:t>
      </w:r>
      <w:r>
        <w:rPr>
          <w:smallCaps/>
        </w:rPr>
        <w:t>/</w:t>
      </w:r>
      <w:r w:rsidR="00977E3D">
        <w:rPr>
          <w:smallCaps/>
        </w:rPr>
        <w:t>Lodging/</w:t>
      </w:r>
      <w:r>
        <w:rPr>
          <w:smallCaps/>
        </w:rPr>
        <w:t>Meals/Incidentals (A</w:t>
      </w:r>
      <w:r w:rsidR="00977E3D">
        <w:rPr>
          <w:smallCaps/>
        </w:rPr>
        <w:t>L</w:t>
      </w:r>
      <w:r>
        <w:rPr>
          <w:smallCaps/>
        </w:rPr>
        <w:t>MI)</w:t>
      </w:r>
      <w:r w:rsidR="00977E3D">
        <w:rPr>
          <w:smallCaps/>
        </w:rPr>
        <w:t xml:space="preserve"> </w:t>
      </w:r>
      <w:r>
        <w:rPr>
          <w:smallCaps/>
        </w:rPr>
        <w:t xml:space="preserve">– </w:t>
      </w:r>
      <w:r w:rsidR="0052255F">
        <w:t>Non-e</w:t>
      </w:r>
      <w:r w:rsidR="0075732B">
        <w:t xml:space="preserve">mployees engaged in </w:t>
      </w:r>
      <w:r w:rsidR="0075732B" w:rsidRPr="0075732B">
        <w:rPr>
          <w:b/>
          <w:i/>
        </w:rPr>
        <w:t>same day</w:t>
      </w:r>
      <w:r w:rsidR="0075732B">
        <w:t xml:space="preserve"> business-related travel are not eligible to receive</w:t>
      </w:r>
      <w:r>
        <w:t xml:space="preserve"> advances, </w:t>
      </w:r>
      <w:r w:rsidR="00977E3D">
        <w:t xml:space="preserve">lodging, </w:t>
      </w:r>
      <w:r>
        <w:t>meals, or incidentals</w:t>
      </w:r>
      <w:r w:rsidR="0075732B">
        <w:t xml:space="preserve">. </w:t>
      </w:r>
      <w:r w:rsidR="0052255F">
        <w:t>Non-e</w:t>
      </w:r>
      <w:r w:rsidR="0075732B">
        <w:t xml:space="preserve">mployees in official travel status, </w:t>
      </w:r>
      <w:r w:rsidR="0075732B" w:rsidRPr="0075732B">
        <w:rPr>
          <w:b/>
          <w:i/>
        </w:rPr>
        <w:t>overnight</w:t>
      </w:r>
      <w:r w:rsidR="0075732B">
        <w:t xml:space="preserve"> travel for business </w:t>
      </w:r>
      <w:r w:rsidR="00083A2C">
        <w:t>purposes, are eligible for ALMI; p</w:t>
      </w:r>
      <w:r>
        <w:t>lease see the RF Travel Policy.</w:t>
      </w:r>
      <w:r w:rsidRPr="00695968">
        <w:t xml:space="preserve"> </w:t>
      </w:r>
      <w:r>
        <w:t xml:space="preserve"> </w:t>
      </w:r>
    </w:p>
    <w:p w14:paraId="5C608AAF" w14:textId="77777777" w:rsidR="002973D3" w:rsidRDefault="007E28F4" w:rsidP="005340FE">
      <w:r w:rsidRPr="002973D3">
        <w:rPr>
          <w:smallCaps/>
        </w:rPr>
        <w:t>Types of Eligible Expenses</w:t>
      </w:r>
      <w:r w:rsidR="00182533" w:rsidRPr="002973D3">
        <w:rPr>
          <w:smallCaps/>
        </w:rPr>
        <w:t xml:space="preserve"> – </w:t>
      </w:r>
      <w:r w:rsidR="007A5CEC">
        <w:t>N</w:t>
      </w:r>
      <w:r w:rsidR="005340FE" w:rsidRPr="007A5CEC">
        <w:t>on</w:t>
      </w:r>
      <w:r w:rsidR="005340FE">
        <w:rPr>
          <w:smallCaps/>
        </w:rPr>
        <w:t>-</w:t>
      </w:r>
      <w:r w:rsidR="00182533" w:rsidRPr="002973D3">
        <w:t xml:space="preserve">employees are expected to travel by the method most conducive to achieving the objectives of the trip while balancing cost, time, and safety. </w:t>
      </w:r>
      <w:r w:rsidR="002973D3">
        <w:t xml:space="preserve"> </w:t>
      </w:r>
      <w:r w:rsidR="00182533" w:rsidRPr="002973D3">
        <w:t>Added costs incurred for the convenience of the traveler, such as travel by circuitous routes or for personal reasons</w:t>
      </w:r>
      <w:r w:rsidR="00D97928" w:rsidRPr="002973D3">
        <w:t>,</w:t>
      </w:r>
      <w:r w:rsidR="00182533" w:rsidRPr="002973D3">
        <w:t xml:space="preserve"> </w:t>
      </w:r>
      <w:r w:rsidR="00D97928" w:rsidRPr="002973D3">
        <w:t>are the responsibility</w:t>
      </w:r>
      <w:r w:rsidR="00182533" w:rsidRPr="002973D3">
        <w:t xml:space="preserve"> of the </w:t>
      </w:r>
      <w:r w:rsidR="005340FE">
        <w:t>traveler</w:t>
      </w:r>
      <w:r w:rsidR="00182533" w:rsidRPr="002973D3">
        <w:t>.</w:t>
      </w:r>
      <w:r w:rsidR="002973D3" w:rsidRPr="002973D3">
        <w:t xml:space="preserve"> Types </w:t>
      </w:r>
      <w:r w:rsidR="002973D3">
        <w:t xml:space="preserve">of expenses </w:t>
      </w:r>
      <w:r w:rsidR="002973D3" w:rsidRPr="002973D3">
        <w:t>include:</w:t>
      </w:r>
      <w:r w:rsidR="00182533" w:rsidRPr="002973D3">
        <w:t xml:space="preserve"> </w:t>
      </w:r>
    </w:p>
    <w:p w14:paraId="7EB54272" w14:textId="77777777" w:rsidR="007E28F4" w:rsidRPr="002973D3" w:rsidRDefault="007E28F4" w:rsidP="005340FE">
      <w:pPr>
        <w:pStyle w:val="ListParagraph"/>
        <w:numPr>
          <w:ilvl w:val="0"/>
          <w:numId w:val="4"/>
        </w:numPr>
      </w:pPr>
      <w:r w:rsidRPr="002973D3">
        <w:t>Mileage for personally-owned vehicles</w:t>
      </w:r>
      <w:r w:rsidR="002973D3">
        <w:t xml:space="preserve"> at the effective standard, federal rate,</w:t>
      </w:r>
    </w:p>
    <w:p w14:paraId="0AC31EAE" w14:textId="77777777" w:rsidR="007E28F4" w:rsidRPr="002973D3" w:rsidRDefault="007E28F4" w:rsidP="005340FE">
      <w:pPr>
        <w:pStyle w:val="ListParagraph"/>
        <w:numPr>
          <w:ilvl w:val="0"/>
          <w:numId w:val="4"/>
        </w:numPr>
        <w:spacing w:line="240" w:lineRule="auto"/>
      </w:pPr>
      <w:r w:rsidRPr="002973D3">
        <w:t>Rental cars and gas</w:t>
      </w:r>
      <w:r w:rsidR="002973D3">
        <w:t>,</w:t>
      </w:r>
    </w:p>
    <w:p w14:paraId="1DAE99F4" w14:textId="35072649" w:rsidR="0070714F" w:rsidRPr="007D3703" w:rsidRDefault="007E28F4" w:rsidP="00D71987">
      <w:pPr>
        <w:pStyle w:val="ListParagraph"/>
        <w:numPr>
          <w:ilvl w:val="0"/>
          <w:numId w:val="4"/>
        </w:numPr>
        <w:spacing w:line="240" w:lineRule="auto"/>
      </w:pPr>
      <w:r w:rsidRPr="002973D3">
        <w:t>Tolls</w:t>
      </w:r>
      <w:r w:rsidR="002973D3">
        <w:t xml:space="preserve"> and </w:t>
      </w:r>
      <w:r w:rsidR="00522440">
        <w:t>p</w:t>
      </w:r>
      <w:r w:rsidRPr="002973D3">
        <w:t>arking fees</w:t>
      </w:r>
      <w:r w:rsidR="002973D3">
        <w:t>,</w:t>
      </w:r>
      <w:r w:rsidR="00645334">
        <w:t xml:space="preserve"> </w:t>
      </w:r>
      <w:r w:rsidRPr="002973D3">
        <w:t>Taxis</w:t>
      </w:r>
      <w:r w:rsidR="002973D3">
        <w:t>, s</w:t>
      </w:r>
      <w:r w:rsidRPr="002973D3">
        <w:t xml:space="preserve">huttles, buses, trains, </w:t>
      </w:r>
      <w:r w:rsidR="005340FE">
        <w:t>etc.</w:t>
      </w:r>
    </w:p>
    <w:sectPr w:rsidR="0070714F" w:rsidRPr="007D3703" w:rsidSect="007A5CEC">
      <w:headerReference w:type="default" r:id="rId11"/>
      <w:footerReference w:type="default" r:id="rId12"/>
      <w:headerReference w:type="first" r:id="rId13"/>
      <w:footerReference w:type="first" r:id="rId14"/>
      <w:type w:val="continuous"/>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A5EE" w14:textId="77777777" w:rsidR="00C56ED8" w:rsidRDefault="00C56ED8" w:rsidP="006A7781">
      <w:pPr>
        <w:spacing w:after="0" w:line="240" w:lineRule="auto"/>
      </w:pPr>
      <w:r>
        <w:separator/>
      </w:r>
    </w:p>
  </w:endnote>
  <w:endnote w:type="continuationSeparator" w:id="0">
    <w:p w14:paraId="43953B07" w14:textId="77777777" w:rsidR="00C56ED8" w:rsidRDefault="00C56ED8" w:rsidP="006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516690"/>
      <w:docPartObj>
        <w:docPartGallery w:val="Page Numbers (Bottom of Page)"/>
        <w:docPartUnique/>
      </w:docPartObj>
    </w:sdtPr>
    <w:sdtEndPr/>
    <w:sdtContent>
      <w:sdt>
        <w:sdtPr>
          <w:rPr>
            <w:sz w:val="16"/>
            <w:szCs w:val="16"/>
          </w:rPr>
          <w:id w:val="194590214"/>
          <w:docPartObj>
            <w:docPartGallery w:val="Page Numbers (Top of Page)"/>
            <w:docPartUnique/>
          </w:docPartObj>
        </w:sdtPr>
        <w:sdtEndPr/>
        <w:sdtContent>
          <w:p w14:paraId="738A083A" w14:textId="77777777" w:rsidR="00F05542" w:rsidRPr="006A7781" w:rsidRDefault="003B661F" w:rsidP="006A7781">
            <w:pPr>
              <w:pStyle w:val="Footer"/>
              <w:tabs>
                <w:tab w:val="clear" w:pos="4680"/>
              </w:tabs>
              <w:rPr>
                <w:sz w:val="16"/>
                <w:szCs w:val="16"/>
              </w:rPr>
            </w:pPr>
            <w:r>
              <w:rPr>
                <w:sz w:val="16"/>
                <w:szCs w:val="16"/>
              </w:rPr>
              <w:t>Business Transportation Expense</w:t>
            </w:r>
            <w:r w:rsidR="00F05542" w:rsidRPr="006A7781">
              <w:rPr>
                <w:sz w:val="16"/>
                <w:szCs w:val="16"/>
              </w:rPr>
              <w:t xml:space="preserve"> Policy</w:t>
            </w:r>
            <w:r>
              <w:rPr>
                <w:sz w:val="16"/>
                <w:szCs w:val="16"/>
              </w:rPr>
              <w:t xml:space="preserve"> – Same Day Travel</w:t>
            </w:r>
            <w:r w:rsidR="00F05542" w:rsidRPr="006A7781">
              <w:rPr>
                <w:sz w:val="16"/>
                <w:szCs w:val="16"/>
              </w:rPr>
              <w:tab/>
              <w:t xml:space="preserve">Page </w:t>
            </w:r>
            <w:r w:rsidR="00F05542" w:rsidRPr="006A7781">
              <w:rPr>
                <w:bCs/>
                <w:sz w:val="16"/>
                <w:szCs w:val="16"/>
              </w:rPr>
              <w:fldChar w:fldCharType="begin"/>
            </w:r>
            <w:r w:rsidR="00F05542" w:rsidRPr="006A7781">
              <w:rPr>
                <w:bCs/>
                <w:sz w:val="16"/>
                <w:szCs w:val="16"/>
              </w:rPr>
              <w:instrText xml:space="preserve"> PAGE </w:instrText>
            </w:r>
            <w:r w:rsidR="00F05542" w:rsidRPr="006A7781">
              <w:rPr>
                <w:bCs/>
                <w:sz w:val="16"/>
                <w:szCs w:val="16"/>
              </w:rPr>
              <w:fldChar w:fldCharType="separate"/>
            </w:r>
            <w:r w:rsidR="00AE3392">
              <w:rPr>
                <w:bCs/>
                <w:noProof/>
                <w:sz w:val="16"/>
                <w:szCs w:val="16"/>
              </w:rPr>
              <w:t>1</w:t>
            </w:r>
            <w:r w:rsidR="00F05542" w:rsidRPr="006A7781">
              <w:rPr>
                <w:bCs/>
                <w:sz w:val="16"/>
                <w:szCs w:val="16"/>
              </w:rPr>
              <w:fldChar w:fldCharType="end"/>
            </w:r>
            <w:r w:rsidR="00F05542" w:rsidRPr="006A7781">
              <w:rPr>
                <w:sz w:val="16"/>
                <w:szCs w:val="16"/>
              </w:rPr>
              <w:t xml:space="preserve"> of </w:t>
            </w:r>
            <w:r w:rsidR="00F05542" w:rsidRPr="006A7781">
              <w:rPr>
                <w:bCs/>
                <w:sz w:val="16"/>
                <w:szCs w:val="16"/>
              </w:rPr>
              <w:fldChar w:fldCharType="begin"/>
            </w:r>
            <w:r w:rsidR="00F05542" w:rsidRPr="006A7781">
              <w:rPr>
                <w:bCs/>
                <w:sz w:val="16"/>
                <w:szCs w:val="16"/>
              </w:rPr>
              <w:instrText xml:space="preserve"> NUMPAGES  </w:instrText>
            </w:r>
            <w:r w:rsidR="00F05542" w:rsidRPr="006A7781">
              <w:rPr>
                <w:bCs/>
                <w:sz w:val="16"/>
                <w:szCs w:val="16"/>
              </w:rPr>
              <w:fldChar w:fldCharType="separate"/>
            </w:r>
            <w:r w:rsidR="00AE3392">
              <w:rPr>
                <w:bCs/>
                <w:noProof/>
                <w:sz w:val="16"/>
                <w:szCs w:val="16"/>
              </w:rPr>
              <w:t>1</w:t>
            </w:r>
            <w:r w:rsidR="00F05542" w:rsidRPr="006A7781">
              <w:rPr>
                <w:bCs/>
                <w:sz w:val="16"/>
                <w:szCs w:val="16"/>
              </w:rPr>
              <w:fldChar w:fldCharType="end"/>
            </w:r>
          </w:p>
        </w:sdtContent>
      </w:sdt>
    </w:sdtContent>
  </w:sdt>
  <w:p w14:paraId="7CE0A46A" w14:textId="0B15AFE6" w:rsidR="00700E73" w:rsidRDefault="00F05542" w:rsidP="007D73B3">
    <w:pPr>
      <w:pStyle w:val="Footer"/>
      <w:tabs>
        <w:tab w:val="clear" w:pos="4680"/>
      </w:tabs>
      <w:rPr>
        <w:sz w:val="16"/>
        <w:szCs w:val="16"/>
      </w:rPr>
    </w:pPr>
    <w:r w:rsidRPr="006A7781">
      <w:rPr>
        <w:sz w:val="16"/>
        <w:szCs w:val="16"/>
      </w:rPr>
      <w:tab/>
      <w:t>Eff</w:t>
    </w:r>
    <w:r>
      <w:rPr>
        <w:sz w:val="16"/>
        <w:szCs w:val="16"/>
      </w:rPr>
      <w:t>:</w:t>
    </w:r>
    <w:r w:rsidRPr="006A7781">
      <w:rPr>
        <w:sz w:val="16"/>
        <w:szCs w:val="16"/>
      </w:rPr>
      <w:t xml:space="preserve"> </w:t>
    </w:r>
    <w:r w:rsidR="00017368">
      <w:rPr>
        <w:sz w:val="16"/>
        <w:szCs w:val="16"/>
      </w:rPr>
      <w:t xml:space="preserve">May </w:t>
    </w:r>
    <w:r w:rsidR="00B15F05">
      <w:rPr>
        <w:sz w:val="16"/>
        <w:szCs w:val="16"/>
      </w:rPr>
      <w:t>04</w:t>
    </w:r>
    <w:r w:rsidR="003B661F">
      <w:rPr>
        <w:sz w:val="16"/>
        <w:szCs w:val="16"/>
      </w:rPr>
      <w:t xml:space="preserve">, </w:t>
    </w:r>
    <w:r>
      <w:rPr>
        <w:sz w:val="16"/>
        <w:szCs w:val="16"/>
      </w:rPr>
      <w:t>201</w:t>
    </w:r>
    <w:r w:rsidR="00B15F05">
      <w:rPr>
        <w:sz w:val="16"/>
        <w:szCs w:val="16"/>
      </w:rPr>
      <w:t>6</w:t>
    </w:r>
    <w:r w:rsidR="00463C75">
      <w:rPr>
        <w:sz w:val="16"/>
        <w:szCs w:val="16"/>
      </w:rPr>
      <w:t>,</w:t>
    </w:r>
    <w:r w:rsidR="007D73B3">
      <w:rPr>
        <w:sz w:val="16"/>
        <w:szCs w:val="16"/>
      </w:rPr>
      <w:t xml:space="preserve"> </w:t>
    </w:r>
    <w:r w:rsidR="00463C75">
      <w:rPr>
        <w:sz w:val="16"/>
        <w:szCs w:val="16"/>
      </w:rPr>
      <w:t>until amended</w:t>
    </w:r>
  </w:p>
  <w:p w14:paraId="5A09C872" w14:textId="24163E3A" w:rsidR="00700E73" w:rsidRPr="006A7781" w:rsidRDefault="00700E73" w:rsidP="00BE6E69">
    <w:pPr>
      <w:pStyle w:val="Footer"/>
      <w:tabs>
        <w:tab w:val="clear" w:pos="4680"/>
      </w:tabs>
      <w:jc w:val="right"/>
      <w:rPr>
        <w:sz w:val="16"/>
        <w:szCs w:val="16"/>
      </w:rPr>
    </w:pPr>
    <w:r>
      <w:rPr>
        <w:sz w:val="16"/>
        <w:szCs w:val="16"/>
      </w:rPr>
      <w:t>ADA Compliant 09.27.2022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20"/>
      </w:rPr>
      <w:id w:val="-748728063"/>
      <w:docPartObj>
        <w:docPartGallery w:val="Page Numbers (Bottom of Page)"/>
        <w:docPartUnique/>
      </w:docPartObj>
    </w:sdtPr>
    <w:sdtEndPr/>
    <w:sdtContent>
      <w:sdt>
        <w:sdtPr>
          <w:rPr>
            <w:sz w:val="16"/>
            <w:szCs w:val="20"/>
          </w:rPr>
          <w:id w:val="-486553483"/>
          <w:docPartObj>
            <w:docPartGallery w:val="Page Numbers (Top of Page)"/>
            <w:docPartUnique/>
          </w:docPartObj>
        </w:sdtPr>
        <w:sdtEndPr/>
        <w:sdtContent>
          <w:p w14:paraId="63EE4D14" w14:textId="77777777" w:rsidR="007D73B3" w:rsidRDefault="007D73B3">
            <w:pPr>
              <w:pStyle w:val="Footer"/>
              <w:jc w:val="right"/>
              <w:rPr>
                <w:bCs/>
                <w:sz w:val="16"/>
                <w:szCs w:val="20"/>
              </w:rPr>
            </w:pPr>
            <w:r w:rsidRPr="007D73B3">
              <w:rPr>
                <w:sz w:val="16"/>
                <w:szCs w:val="20"/>
              </w:rPr>
              <w:t xml:space="preserve">Page </w:t>
            </w:r>
            <w:r w:rsidRPr="007D73B3">
              <w:rPr>
                <w:bCs/>
                <w:sz w:val="16"/>
                <w:szCs w:val="20"/>
              </w:rPr>
              <w:fldChar w:fldCharType="begin"/>
            </w:r>
            <w:r w:rsidRPr="007D73B3">
              <w:rPr>
                <w:bCs/>
                <w:sz w:val="16"/>
                <w:szCs w:val="20"/>
              </w:rPr>
              <w:instrText xml:space="preserve"> PAGE </w:instrText>
            </w:r>
            <w:r w:rsidRPr="007D73B3">
              <w:rPr>
                <w:bCs/>
                <w:sz w:val="16"/>
                <w:szCs w:val="20"/>
              </w:rPr>
              <w:fldChar w:fldCharType="separate"/>
            </w:r>
            <w:r w:rsidR="005340FE">
              <w:rPr>
                <w:bCs/>
                <w:noProof/>
                <w:sz w:val="16"/>
                <w:szCs w:val="20"/>
              </w:rPr>
              <w:t>1</w:t>
            </w:r>
            <w:r w:rsidRPr="007D73B3">
              <w:rPr>
                <w:bCs/>
                <w:sz w:val="16"/>
                <w:szCs w:val="20"/>
              </w:rPr>
              <w:fldChar w:fldCharType="end"/>
            </w:r>
            <w:r w:rsidRPr="007D73B3">
              <w:rPr>
                <w:sz w:val="16"/>
                <w:szCs w:val="20"/>
              </w:rPr>
              <w:t xml:space="preserve"> of </w:t>
            </w:r>
            <w:r w:rsidRPr="007D73B3">
              <w:rPr>
                <w:bCs/>
                <w:sz w:val="16"/>
                <w:szCs w:val="20"/>
              </w:rPr>
              <w:fldChar w:fldCharType="begin"/>
            </w:r>
            <w:r w:rsidRPr="007D73B3">
              <w:rPr>
                <w:bCs/>
                <w:sz w:val="16"/>
                <w:szCs w:val="20"/>
              </w:rPr>
              <w:instrText xml:space="preserve"> NUMPAGES  </w:instrText>
            </w:r>
            <w:r w:rsidRPr="007D73B3">
              <w:rPr>
                <w:bCs/>
                <w:sz w:val="16"/>
                <w:szCs w:val="20"/>
              </w:rPr>
              <w:fldChar w:fldCharType="separate"/>
            </w:r>
            <w:r w:rsidR="00AE3392">
              <w:rPr>
                <w:bCs/>
                <w:noProof/>
                <w:sz w:val="16"/>
                <w:szCs w:val="20"/>
              </w:rPr>
              <w:t>1</w:t>
            </w:r>
            <w:r w:rsidRPr="007D73B3">
              <w:rPr>
                <w:bCs/>
                <w:sz w:val="16"/>
                <w:szCs w:val="20"/>
              </w:rPr>
              <w:fldChar w:fldCharType="end"/>
            </w:r>
          </w:p>
          <w:p w14:paraId="480FE330" w14:textId="77777777" w:rsidR="007D73B3" w:rsidRPr="007D73B3" w:rsidRDefault="007D73B3">
            <w:pPr>
              <w:pStyle w:val="Footer"/>
              <w:jc w:val="right"/>
              <w:rPr>
                <w:sz w:val="16"/>
                <w:szCs w:val="20"/>
              </w:rPr>
            </w:pPr>
            <w:r>
              <w:rPr>
                <w:bCs/>
                <w:sz w:val="16"/>
                <w:szCs w:val="20"/>
              </w:rPr>
              <w:t xml:space="preserve">Eff: May </w:t>
            </w:r>
            <w:r w:rsidR="00B15F05">
              <w:rPr>
                <w:bCs/>
                <w:sz w:val="16"/>
                <w:szCs w:val="20"/>
              </w:rPr>
              <w:t>04</w:t>
            </w:r>
            <w:r>
              <w:rPr>
                <w:bCs/>
                <w:sz w:val="16"/>
                <w:szCs w:val="20"/>
              </w:rPr>
              <w:t>, 201</w:t>
            </w:r>
            <w:r w:rsidR="00B15F05">
              <w:rPr>
                <w:bCs/>
                <w:sz w:val="16"/>
                <w:szCs w:val="20"/>
              </w:rPr>
              <w:t>6</w:t>
            </w:r>
            <w:r>
              <w:rPr>
                <w:bCs/>
                <w:sz w:val="16"/>
                <w:szCs w:val="20"/>
              </w:rPr>
              <w:t>, until amended</w:t>
            </w:r>
          </w:p>
        </w:sdtContent>
      </w:sdt>
    </w:sdtContent>
  </w:sdt>
  <w:p w14:paraId="248B89FF" w14:textId="77777777" w:rsidR="00D03AE0" w:rsidRDefault="00D0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7C99" w14:textId="77777777" w:rsidR="00C56ED8" w:rsidRDefault="00C56ED8" w:rsidP="006A7781">
      <w:pPr>
        <w:spacing w:after="0" w:line="240" w:lineRule="auto"/>
      </w:pPr>
      <w:r>
        <w:separator/>
      </w:r>
    </w:p>
  </w:footnote>
  <w:footnote w:type="continuationSeparator" w:id="0">
    <w:p w14:paraId="620F5F42" w14:textId="77777777" w:rsidR="00C56ED8" w:rsidRDefault="00C56ED8" w:rsidP="006A7781">
      <w:pPr>
        <w:spacing w:after="0" w:line="240" w:lineRule="auto"/>
      </w:pPr>
      <w:r>
        <w:continuationSeparator/>
      </w:r>
    </w:p>
  </w:footnote>
  <w:footnote w:id="1">
    <w:p w14:paraId="1FB0A984" w14:textId="77777777" w:rsidR="00F05542" w:rsidRDefault="00F05542">
      <w:pPr>
        <w:pStyle w:val="FootnoteText"/>
      </w:pPr>
      <w:r>
        <w:rPr>
          <w:rStyle w:val="FootnoteReference"/>
        </w:rPr>
        <w:footnoteRef/>
      </w:r>
      <w:r>
        <w:t xml:space="preserve"> </w:t>
      </w:r>
      <w:r w:rsidRPr="00594AAB">
        <w:rPr>
          <w:sz w:val="18"/>
        </w:rPr>
        <w:t>§200.343 (a) of the federal Uniform Guidance</w:t>
      </w:r>
      <w:r w:rsidR="00AA549B">
        <w:rPr>
          <w:sz w:val="18"/>
        </w:rPr>
        <w:t>, effective 12/26/2014</w:t>
      </w:r>
      <w:r w:rsidRPr="00594AAB">
        <w:rPr>
          <w:sz w:val="18"/>
        </w:rPr>
        <w:t>, “The non-Federal entity must submit, no later than 90 calendar days after the end date of the period of performance, all financial, performance, and other reports as required by the terms and conditions of the Federal award.”</w:t>
      </w:r>
      <w:r>
        <w:rPr>
          <w:sz w:val="18"/>
        </w:rPr>
        <w:t xml:space="preserve">  In order to comply with federal regulations that require awards to be closed out 90 days after the end date, OSP requires all requests for reimbursement, be submitted within </w:t>
      </w:r>
      <w:r w:rsidR="008F512E">
        <w:rPr>
          <w:sz w:val="18"/>
        </w:rPr>
        <w:t>30</w:t>
      </w:r>
      <w:r w:rsidR="00AD5208">
        <w:rPr>
          <w:sz w:val="18"/>
        </w:rPr>
        <w:t xml:space="preserve"> days</w:t>
      </w:r>
      <w:r>
        <w:rPr>
          <w:sz w:val="18"/>
        </w:rPr>
        <w:t xml:space="preserve"> of occurrence to allow the expenditure to hit the general ledger and be included in drawdowns and financial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8E" w14:textId="77777777" w:rsidR="00F05542" w:rsidRPr="00E812C0" w:rsidRDefault="007A5CEC" w:rsidP="00E812C0">
    <w:pPr>
      <w:pStyle w:val="Header"/>
      <w:tabs>
        <w:tab w:val="clear" w:pos="4680"/>
      </w:tabs>
      <w:rPr>
        <w:rFonts w:ascii="Times New Roman" w:hAnsi="Times New Roman" w:cs="Times New Roman"/>
        <w:b/>
        <w:i/>
        <w:sz w:val="20"/>
      </w:rPr>
    </w:pPr>
    <w:r>
      <w:rPr>
        <w:noProof/>
      </w:rPr>
      <w:drawing>
        <wp:inline distT="0" distB="0" distL="0" distR="0" wp14:anchorId="12E783E0" wp14:editId="5491845C">
          <wp:extent cx="1277938" cy="770890"/>
          <wp:effectExtent l="0" t="0" r="0" b="0"/>
          <wp:docPr id="13" name="Picture 13" descr="SUNY 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UNY RF Logo"/>
                  <pic:cNvPicPr>
                    <a:picLocks noChangeAspect="1"/>
                  </pic:cNvPicPr>
                </pic:nvPicPr>
                <pic:blipFill>
                  <a:blip r:embed="rId1"/>
                  <a:stretch>
                    <a:fillRect/>
                  </a:stretch>
                </pic:blipFill>
                <pic:spPr>
                  <a:xfrm>
                    <a:off x="0" y="0"/>
                    <a:ext cx="1277938" cy="770890"/>
                  </a:xfrm>
                  <a:prstGeom prst="rect">
                    <a:avLst/>
                  </a:prstGeom>
                </pic:spPr>
              </pic:pic>
            </a:graphicData>
          </a:graphic>
        </wp:inline>
      </w:drawing>
    </w:r>
    <w:r w:rsidR="00F05542">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6C78" w14:textId="77777777" w:rsidR="00D03AE0" w:rsidRDefault="00D03AE0">
    <w:pPr>
      <w:pStyle w:val="Header"/>
    </w:pPr>
    <w:r>
      <w:rPr>
        <w:noProof/>
      </w:rPr>
      <w:drawing>
        <wp:inline distT="0" distB="0" distL="0" distR="0" wp14:anchorId="5A997FF8" wp14:editId="57434469">
          <wp:extent cx="1277938" cy="770890"/>
          <wp:effectExtent l="0" t="0" r="0" b="0"/>
          <wp:docPr id="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277938" cy="770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5506"/>
    <w:multiLevelType w:val="hybridMultilevel"/>
    <w:tmpl w:val="08481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3233E"/>
    <w:multiLevelType w:val="hybridMultilevel"/>
    <w:tmpl w:val="6C08E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807D9"/>
    <w:multiLevelType w:val="hybridMultilevel"/>
    <w:tmpl w:val="83DC3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0133D"/>
    <w:multiLevelType w:val="hybridMultilevel"/>
    <w:tmpl w:val="C8AAD7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648774">
    <w:abstractNumId w:val="2"/>
  </w:num>
  <w:num w:numId="2" w16cid:durableId="237636742">
    <w:abstractNumId w:val="3"/>
  </w:num>
  <w:num w:numId="3" w16cid:durableId="842011736">
    <w:abstractNumId w:val="0"/>
  </w:num>
  <w:num w:numId="4" w16cid:durableId="2056851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CF"/>
    <w:rsid w:val="00002CB9"/>
    <w:rsid w:val="00007FA4"/>
    <w:rsid w:val="00010088"/>
    <w:rsid w:val="00015560"/>
    <w:rsid w:val="00017368"/>
    <w:rsid w:val="000321FD"/>
    <w:rsid w:val="0006442C"/>
    <w:rsid w:val="00065012"/>
    <w:rsid w:val="00083A2C"/>
    <w:rsid w:val="000907FF"/>
    <w:rsid w:val="000A0185"/>
    <w:rsid w:val="000D35E7"/>
    <w:rsid w:val="000D57CE"/>
    <w:rsid w:val="000E1C81"/>
    <w:rsid w:val="00115C34"/>
    <w:rsid w:val="00121A93"/>
    <w:rsid w:val="00124F06"/>
    <w:rsid w:val="00141F3B"/>
    <w:rsid w:val="0014563E"/>
    <w:rsid w:val="0015321F"/>
    <w:rsid w:val="001812BF"/>
    <w:rsid w:val="00182533"/>
    <w:rsid w:val="001964E4"/>
    <w:rsid w:val="001C19FD"/>
    <w:rsid w:val="001E2E9A"/>
    <w:rsid w:val="001E7702"/>
    <w:rsid w:val="001F3293"/>
    <w:rsid w:val="001F4EFA"/>
    <w:rsid w:val="002733FA"/>
    <w:rsid w:val="002973D3"/>
    <w:rsid w:val="002C3DD7"/>
    <w:rsid w:val="002D03BB"/>
    <w:rsid w:val="002E21CF"/>
    <w:rsid w:val="002E5D95"/>
    <w:rsid w:val="00350BBD"/>
    <w:rsid w:val="0037029E"/>
    <w:rsid w:val="003A088D"/>
    <w:rsid w:val="003A0FDF"/>
    <w:rsid w:val="003A2EB9"/>
    <w:rsid w:val="003B3213"/>
    <w:rsid w:val="003B661F"/>
    <w:rsid w:val="003D42E9"/>
    <w:rsid w:val="003D45C5"/>
    <w:rsid w:val="003D5166"/>
    <w:rsid w:val="003D58D8"/>
    <w:rsid w:val="003E20BF"/>
    <w:rsid w:val="003F5851"/>
    <w:rsid w:val="003F65E9"/>
    <w:rsid w:val="0043521B"/>
    <w:rsid w:val="00436DE5"/>
    <w:rsid w:val="004376DF"/>
    <w:rsid w:val="00452775"/>
    <w:rsid w:val="004620E7"/>
    <w:rsid w:val="00463C75"/>
    <w:rsid w:val="00465D12"/>
    <w:rsid w:val="00465D7B"/>
    <w:rsid w:val="0047553E"/>
    <w:rsid w:val="004B0753"/>
    <w:rsid w:val="004B5BDF"/>
    <w:rsid w:val="004B66C6"/>
    <w:rsid w:val="004C2698"/>
    <w:rsid w:val="004C48A0"/>
    <w:rsid w:val="004D6889"/>
    <w:rsid w:val="00502495"/>
    <w:rsid w:val="00505F02"/>
    <w:rsid w:val="00513D7E"/>
    <w:rsid w:val="00522440"/>
    <w:rsid w:val="0052255F"/>
    <w:rsid w:val="005340FE"/>
    <w:rsid w:val="0055019E"/>
    <w:rsid w:val="0056070E"/>
    <w:rsid w:val="00567E2E"/>
    <w:rsid w:val="0057300A"/>
    <w:rsid w:val="00592148"/>
    <w:rsid w:val="00594AAB"/>
    <w:rsid w:val="00595847"/>
    <w:rsid w:val="005B1EDE"/>
    <w:rsid w:val="005D4C78"/>
    <w:rsid w:val="00612D3C"/>
    <w:rsid w:val="00643FEC"/>
    <w:rsid w:val="00645334"/>
    <w:rsid w:val="00653AC5"/>
    <w:rsid w:val="00661F72"/>
    <w:rsid w:val="00664DD0"/>
    <w:rsid w:val="00670CA7"/>
    <w:rsid w:val="006901AF"/>
    <w:rsid w:val="00693565"/>
    <w:rsid w:val="00694244"/>
    <w:rsid w:val="00695968"/>
    <w:rsid w:val="006A7781"/>
    <w:rsid w:val="006B2395"/>
    <w:rsid w:val="006F2168"/>
    <w:rsid w:val="006F438A"/>
    <w:rsid w:val="00700E73"/>
    <w:rsid w:val="0070714F"/>
    <w:rsid w:val="00715644"/>
    <w:rsid w:val="0075732B"/>
    <w:rsid w:val="00767DBB"/>
    <w:rsid w:val="00771B70"/>
    <w:rsid w:val="00782C0E"/>
    <w:rsid w:val="007A5CEC"/>
    <w:rsid w:val="007D3703"/>
    <w:rsid w:val="007D73B3"/>
    <w:rsid w:val="007E095D"/>
    <w:rsid w:val="007E28F4"/>
    <w:rsid w:val="00800509"/>
    <w:rsid w:val="00837FDF"/>
    <w:rsid w:val="00850F5E"/>
    <w:rsid w:val="0085483B"/>
    <w:rsid w:val="0086610B"/>
    <w:rsid w:val="0088208E"/>
    <w:rsid w:val="00882F7D"/>
    <w:rsid w:val="00884DF0"/>
    <w:rsid w:val="00892C62"/>
    <w:rsid w:val="0089351A"/>
    <w:rsid w:val="008A32FF"/>
    <w:rsid w:val="008C2E44"/>
    <w:rsid w:val="008E3192"/>
    <w:rsid w:val="008F1927"/>
    <w:rsid w:val="008F327F"/>
    <w:rsid w:val="008F395F"/>
    <w:rsid w:val="008F3EEF"/>
    <w:rsid w:val="008F512E"/>
    <w:rsid w:val="008F76CB"/>
    <w:rsid w:val="0091492F"/>
    <w:rsid w:val="0092552E"/>
    <w:rsid w:val="009356C4"/>
    <w:rsid w:val="00954928"/>
    <w:rsid w:val="0097597C"/>
    <w:rsid w:val="00977E3D"/>
    <w:rsid w:val="00990D71"/>
    <w:rsid w:val="009A091E"/>
    <w:rsid w:val="009B0554"/>
    <w:rsid w:val="009B2E84"/>
    <w:rsid w:val="009D0F1B"/>
    <w:rsid w:val="00A10DD8"/>
    <w:rsid w:val="00A17469"/>
    <w:rsid w:val="00A2578E"/>
    <w:rsid w:val="00A30F1E"/>
    <w:rsid w:val="00A4675C"/>
    <w:rsid w:val="00A81850"/>
    <w:rsid w:val="00A92FAA"/>
    <w:rsid w:val="00A92FFC"/>
    <w:rsid w:val="00AA549B"/>
    <w:rsid w:val="00AC7633"/>
    <w:rsid w:val="00AD1319"/>
    <w:rsid w:val="00AD3199"/>
    <w:rsid w:val="00AD5208"/>
    <w:rsid w:val="00AE3392"/>
    <w:rsid w:val="00B15F05"/>
    <w:rsid w:val="00B4744A"/>
    <w:rsid w:val="00B713B5"/>
    <w:rsid w:val="00BB5D97"/>
    <w:rsid w:val="00BB777F"/>
    <w:rsid w:val="00BC4D82"/>
    <w:rsid w:val="00BE5FC0"/>
    <w:rsid w:val="00BE6E69"/>
    <w:rsid w:val="00C01AEA"/>
    <w:rsid w:val="00C068B3"/>
    <w:rsid w:val="00C25FC8"/>
    <w:rsid w:val="00C35549"/>
    <w:rsid w:val="00C56D8D"/>
    <w:rsid w:val="00C56ED8"/>
    <w:rsid w:val="00C57ED7"/>
    <w:rsid w:val="00C87E0D"/>
    <w:rsid w:val="00CA2AA9"/>
    <w:rsid w:val="00CC0611"/>
    <w:rsid w:val="00CE26BD"/>
    <w:rsid w:val="00D03AE0"/>
    <w:rsid w:val="00D25917"/>
    <w:rsid w:val="00D338B9"/>
    <w:rsid w:val="00D51698"/>
    <w:rsid w:val="00D6758C"/>
    <w:rsid w:val="00D74C8E"/>
    <w:rsid w:val="00D97928"/>
    <w:rsid w:val="00DA47A1"/>
    <w:rsid w:val="00DA53FC"/>
    <w:rsid w:val="00DA7EE4"/>
    <w:rsid w:val="00DD59F0"/>
    <w:rsid w:val="00DE2EE6"/>
    <w:rsid w:val="00DF639C"/>
    <w:rsid w:val="00E00A10"/>
    <w:rsid w:val="00E044B9"/>
    <w:rsid w:val="00E140AC"/>
    <w:rsid w:val="00E214B8"/>
    <w:rsid w:val="00E23DAE"/>
    <w:rsid w:val="00E4572C"/>
    <w:rsid w:val="00E46A9E"/>
    <w:rsid w:val="00E51F3D"/>
    <w:rsid w:val="00E57094"/>
    <w:rsid w:val="00E812C0"/>
    <w:rsid w:val="00EA3461"/>
    <w:rsid w:val="00EA6E42"/>
    <w:rsid w:val="00EC2C9E"/>
    <w:rsid w:val="00F05542"/>
    <w:rsid w:val="00F126B8"/>
    <w:rsid w:val="00F30AA9"/>
    <w:rsid w:val="00F3109E"/>
    <w:rsid w:val="00F326D9"/>
    <w:rsid w:val="00F62F45"/>
    <w:rsid w:val="00F70F62"/>
    <w:rsid w:val="00F75C39"/>
    <w:rsid w:val="00F7723B"/>
    <w:rsid w:val="00FA77ED"/>
    <w:rsid w:val="00FC0E0D"/>
    <w:rsid w:val="00FC24A0"/>
    <w:rsid w:val="00FC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AAEBF"/>
  <w15:docId w15:val="{CEBFA8CA-038E-4283-919C-81D8FCB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781"/>
  </w:style>
  <w:style w:type="paragraph" w:styleId="Footer">
    <w:name w:val="footer"/>
    <w:basedOn w:val="Normal"/>
    <w:link w:val="FooterChar"/>
    <w:uiPriority w:val="99"/>
    <w:unhideWhenUsed/>
    <w:rsid w:val="006A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781"/>
  </w:style>
  <w:style w:type="paragraph" w:styleId="BalloonText">
    <w:name w:val="Balloon Text"/>
    <w:basedOn w:val="Normal"/>
    <w:link w:val="BalloonTextChar"/>
    <w:uiPriority w:val="99"/>
    <w:semiHidden/>
    <w:unhideWhenUsed/>
    <w:rsid w:val="006A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81"/>
    <w:rPr>
      <w:rFonts w:ascii="Tahoma" w:hAnsi="Tahoma" w:cs="Tahoma"/>
      <w:sz w:val="16"/>
      <w:szCs w:val="16"/>
    </w:rPr>
  </w:style>
  <w:style w:type="character" w:styleId="Hyperlink">
    <w:name w:val="Hyperlink"/>
    <w:basedOn w:val="DefaultParagraphFont"/>
    <w:uiPriority w:val="99"/>
    <w:unhideWhenUsed/>
    <w:rsid w:val="00E812C0"/>
    <w:rPr>
      <w:color w:val="0000FF" w:themeColor="hyperlink"/>
      <w:u w:val="single"/>
    </w:rPr>
  </w:style>
  <w:style w:type="table" w:styleId="TableGrid">
    <w:name w:val="Table Grid"/>
    <w:basedOn w:val="TableNormal"/>
    <w:uiPriority w:val="59"/>
    <w:rsid w:val="0047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2495"/>
    <w:pPr>
      <w:ind w:left="720"/>
      <w:contextualSpacing/>
    </w:pPr>
  </w:style>
  <w:style w:type="paragraph" w:styleId="FootnoteText">
    <w:name w:val="footnote text"/>
    <w:basedOn w:val="Normal"/>
    <w:link w:val="FootnoteTextChar"/>
    <w:uiPriority w:val="99"/>
    <w:semiHidden/>
    <w:unhideWhenUsed/>
    <w:rsid w:val="00594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AAB"/>
    <w:rPr>
      <w:sz w:val="20"/>
      <w:szCs w:val="20"/>
    </w:rPr>
  </w:style>
  <w:style w:type="character" w:styleId="FootnoteReference">
    <w:name w:val="footnote reference"/>
    <w:basedOn w:val="DefaultParagraphFont"/>
    <w:uiPriority w:val="99"/>
    <w:semiHidden/>
    <w:unhideWhenUsed/>
    <w:rsid w:val="00594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1761B99A93040A03A8E42C6E42200" ma:contentTypeVersion="12" ma:contentTypeDescription="Create a new document." ma:contentTypeScope="" ma:versionID="ae02ca48a02904165906ab4b0898a343">
  <xsd:schema xmlns:xsd="http://www.w3.org/2001/XMLSchema" xmlns:xs="http://www.w3.org/2001/XMLSchema" xmlns:p="http://schemas.microsoft.com/office/2006/metadata/properties" xmlns:ns2="ae06fcea-541a-49e3-952a-5eaf56d381f3" xmlns:ns3="daea435f-7073-4c60-9060-e78a3a9f8d50" targetNamespace="http://schemas.microsoft.com/office/2006/metadata/properties" ma:root="true" ma:fieldsID="8726733567a108becb7600b60a89ecc4" ns2:_="" ns3:_="">
    <xsd:import namespace="ae06fcea-541a-49e3-952a-5eaf56d381f3"/>
    <xsd:import namespace="daea435f-7073-4c60-9060-e78a3a9f8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6fcea-541a-49e3-952a-5eaf56d38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a435f-7073-4c60-9060-e78a3a9f8d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F4BA-642B-4905-87B9-C4BE992E39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F6D925-FECA-4F7D-BC49-A10E4F3AA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6fcea-541a-49e3-952a-5eaf56d381f3"/>
    <ds:schemaRef ds:uri="daea435f-7073-4c60-9060-e78a3a9f8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D97E0-C663-4A00-9FCC-BE86301492D7}">
  <ds:schemaRefs>
    <ds:schemaRef ds:uri="http://schemas.microsoft.com/sharepoint/v3/contenttype/forms"/>
  </ds:schemaRefs>
</ds:datastoreItem>
</file>

<file path=customXml/itemProps4.xml><?xml version="1.0" encoding="utf-8"?>
<ds:datastoreItem xmlns:ds="http://schemas.openxmlformats.org/officeDocument/2006/customXml" ds:itemID="{2EFF2520-E8BE-4464-B027-4089FB45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Hoselton</dc:creator>
  <cp:lastModifiedBy>Roseann Merrill</cp:lastModifiedBy>
  <cp:revision>7</cp:revision>
  <cp:lastPrinted>2016-05-18T19:30:00Z</cp:lastPrinted>
  <dcterms:created xsi:type="dcterms:W3CDTF">2022-09-27T10:14:00Z</dcterms:created>
  <dcterms:modified xsi:type="dcterms:W3CDTF">2022-09-27T10:19:00Z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0x0101002BF1761B99A93040A03A8E42C6E42200</vt:lpwstr>
  </property>
</Properties>
</file>